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3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Personalized Learning Pathways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2.1, 2.3)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follow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the same pathway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to accomplish their academic goals.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follow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customized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pathways to accomplish their academic goals.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follow customized pathways to accomplish their academic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and </w:t>
              <w:br w:type="textWrapping"/>
              <w:t xml:space="preserve">non-academic goals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follow customized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pathways that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 adapt as necessary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to accomplish their individual academic and non-academic goals.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6660"/>
        <w:tblGridChange w:id="0">
          <w:tblGrid>
            <w:gridCol w:w="4225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7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1"/>
              </w:numPr>
              <w:shd w:fill="ffffff" w:val="clear"/>
              <w:spacing w:before="80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Most or all students complete the same series of activities/instructional experiences to master an academic learning objective. I.e., students are uniformly doing the same thing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color w:val="2a2a2a"/>
                <w:sz w:val="24"/>
                <w:szCs w:val="24"/>
                <w:highlight w:val="white"/>
                <w:rtl w:val="0"/>
              </w:rPr>
              <w:t xml:space="preserve">OR​​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Based on their needs, some students complete a differentiated series of activities/instructional experiences to master an academic learning objective. I.e., students engage in pathways that have been uniquely tailored for them. ​​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Pathways may be customized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at the individual student level and/or group level. E.g., a group of students needing remediation on one-variable equations may have a mini-lesson with their teacher.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2"/>
              </w:numPr>
              <w:shd w:fill="ffffff" w:val="clear"/>
              <w:spacing w:before="80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Based on their needs, most or all students complete a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differentiated series of activities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/instructional experiences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to master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academic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non-academic objectives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2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8"/>
                <w:szCs w:val="28"/>
                <w:highlight w:val="white"/>
                <w:rtl w:val="0"/>
              </w:rPr>
              <w:t xml:space="preserve">​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Customized pathways are equally as important for non-cognitive skill development and social-emotional learning as academic content. I.e.,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teachers customize experiences so that students have an opportunity to master non-academic objectives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in a way that works best for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build non-cognitive skills through the lens of academic content. E.g., first grade students practice empathy through interviews with one another to understand the beliefs, customs, languages and traditions of other communities.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hd w:fill="ffffff" w:val="clear"/>
              <w:spacing w:after="0" w:afterAutospacing="0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Pathways may be customized at the individual student level and/or group level.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0" w:beforeAutospacing="0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Pathways adapt in real-time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as a student progresses. I.e., a pathway can change based on how the student is doing on the objectives of the pathway.​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hd w:fill="ffffff" w:val="clear"/>
              <w:ind w:left="720"/>
              <w:rPr>
                <w:rFonts w:ascii="Raleway" w:cs="Raleway" w:eastAsia="Raleway" w:hAnsi="Raleway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all students doing the same activities at the same time, or are students working on different activities at the same time?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activities customized to reflect individual or group needs? Do you notice that tasks have been purposefully scaffolded, modified, extended, etc. to meet different student needs?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Do students have opportunities to grow their non-cognitive and social-emotional skills? If so, are those opportunities embedded in content or taught separately?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5572125</wp:posOffset>
            </wp:positionH>
            <wp:positionV relativeFrom="paragraph">
              <wp:posOffset>2105025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